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UNIVERSIDAD NACIONAL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COMISIÓN DE CARRERA ACADÉMICA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MANUAL DE PROCEDIMIENTO ARTÍCULO 56 BIS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REGLAMENTO DEL RÉGIMEN DE CARRERA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8.0" w:type="dxa"/>
        <w:jc w:val="left"/>
        <w:tblInd w:w="-5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6"/>
        <w:gridCol w:w="5874"/>
        <w:gridCol w:w="2268"/>
        <w:tblGridChange w:id="0">
          <w:tblGrid>
            <w:gridCol w:w="2206"/>
            <w:gridCol w:w="5874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00000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PROCEDIMIENTO PARA LA APLICACIÓN DEL ARTÍCULO 56 BIS: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3"/>
                <w:szCs w:val="23"/>
                <w:rtl w:val="0"/>
              </w:rPr>
              <w:t xml:space="preserve">RECONOCIMIENTO SALARIAL EN EL SECTOR ACADÉMICO DE LAS UNIVERSIDADES ESTATALES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5.6640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rtl w:val="0"/>
              </w:rPr>
              <w:t xml:space="preserve">ARTÍCULO 56. BIS. RECONOCIMIENTO SALARIAL EN EL SECTOR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3"/>
                <w:szCs w:val="23"/>
                <w:rtl w:val="0"/>
              </w:rPr>
              <w:t xml:space="preserve">ACADÉMICO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3"/>
                <w:szCs w:val="23"/>
                <w:rtl w:val="0"/>
              </w:rPr>
              <w:t xml:space="preserve"> DE LAS UNIVERSIDADES ESTATALES 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3"/>
                <w:szCs w:val="23"/>
                <w:rtl w:val="0"/>
              </w:rPr>
              <w:t xml:space="preserve">En caso de que un académico o académica tenga nombramiento en propiedad en otra universidad estatal de Costa Rica y adicionalmente labora en forma temporal en la Universidad Nacional, a solicitud del interesado, la Comisión de Carrera Académica, y de conformidad con el acuerdo tomado por el CONARE, en la Sesión 20-01-Artículo 4, inciso c) del 24 de julio del 2001, se le asignará el salario correspondiente de la categoría de la Universidad Nacional que es homóloga a la de la Institución Estatal de procedencia . La asignación de salario no implica ingreso al Régimen. </w:t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00" w:line="240" w:lineRule="auto"/>
              <w:jc w:val="both"/>
              <w:rPr>
                <w:rFonts w:ascii="Arial" w:cs="Arial" w:eastAsia="Arial" w:hAnsi="Arial"/>
                <w:i w:val="1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3"/>
                <w:szCs w:val="23"/>
                <w:rtl w:val="0"/>
              </w:rPr>
              <w:t xml:space="preserve">Se incluye según oficio SCU-1011-2013 y publicado en UNA-GACETA N° 7-2013.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GACETA N.° 22-2021 del 10 de diciembre de 2021.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0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acuerdo CONARE, sesión 20-01 artículo 4, inciso c) del 24 de julio del 2001, sobre el reconocimiento salarial correspondiente a la categoría profesional académica, equivalente a la que ostenta en la institución de educación superior estatal de procedencia.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20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" w:hRule="atLeast"/>
          <w:tblHeader w:val="0"/>
        </w:trPr>
        <w:tc>
          <w:tcPr>
            <w:gridSpan w:val="3"/>
            <w:shd w:fill="c00000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Primera Etapa: Presentación de la solicitud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.978515625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Etapas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Secuencia de actividades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Responsables</w:t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Presenta la  solicitud artículo 56 BIS con los atestados correspondientes.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1.1. Crea mediante el Sistema SICA,  la solicitud de estudio para la aplicación del artículo 56 BIS  del Reglamento del Régimen de Carrera Académica.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Presenta oficio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dirigido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quien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reside la Comisión de Carrera Académica solicitando el reconocimiento salarial según acuerdo CONARE, Sesión 20-01, Artículo 4, Inciso C) del 24 de julio del 2001.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El oficio debe aportar los siguientes documentos adjuntos: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0" w:line="240" w:lineRule="auto"/>
              <w:ind w:left="805" w:hanging="4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Transcripción de acuerdo de la Unidad Académica de la Universidad Nacional, en el cual se indique: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left="80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1"/>
                <w:numId w:val="2"/>
              </w:numPr>
              <w:spacing w:after="0" w:line="240" w:lineRule="auto"/>
              <w:ind w:left="805" w:hanging="4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Nombramiento del (a) académico (a) en la Unidad Académica.</w:t>
            </w:r>
          </w:p>
          <w:p w:rsidR="00000000" w:rsidDel="00000000" w:rsidP="00000000" w:rsidRDefault="00000000" w:rsidRPr="00000000" w14:paraId="00000022">
            <w:pPr>
              <w:numPr>
                <w:ilvl w:val="1"/>
                <w:numId w:val="2"/>
              </w:numPr>
              <w:spacing w:after="0" w:line="240" w:lineRule="auto"/>
              <w:ind w:left="805" w:hanging="4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Fecha del nombramiento del (a) académico (a) en la Unidad Académica (Trimestre, Ciclo, Anual), sea a plazo fijo.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ind w:left="80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0" w:line="240" w:lineRule="auto"/>
              <w:ind w:left="805" w:hanging="4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Constancia de tiempo servido de la Universidad de procedencia, que indique: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80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1"/>
                <w:numId w:val="2"/>
              </w:numPr>
              <w:spacing w:after="0" w:line="240" w:lineRule="auto"/>
              <w:ind w:left="805" w:hanging="4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período de nombramiento del (a) académico (a) de la Universidad de procedencia.</w:t>
            </w:r>
          </w:p>
          <w:p w:rsidR="00000000" w:rsidDel="00000000" w:rsidP="00000000" w:rsidRDefault="00000000" w:rsidRPr="00000000" w14:paraId="00000027">
            <w:pPr>
              <w:numPr>
                <w:ilvl w:val="1"/>
                <w:numId w:val="2"/>
              </w:numPr>
              <w:spacing w:after="0" w:line="240" w:lineRule="auto"/>
              <w:ind w:left="805" w:hanging="425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Su condición de propiedad y la categoría que ostenta en la Universidad de Procedencia.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ind w:left="2073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0" w:line="240" w:lineRule="auto"/>
              <w:ind w:left="708.6614173228347" w:hanging="360"/>
              <w:jc w:val="both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Constancia del Régimen de Carrera Académica de la Universidad de procedencia que indique la categoría del académico.</w:t>
            </w:r>
          </w:p>
          <w:p w:rsidR="00000000" w:rsidDel="00000000" w:rsidP="00000000" w:rsidRDefault="00000000" w:rsidRPr="00000000" w14:paraId="0000002A">
            <w:pPr>
              <w:tabs>
                <w:tab w:val="left" w:pos="4380"/>
              </w:tabs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NOTA: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Este reconocimiento es aplicable únicamente para efectos salariales, en contrataciones temporales.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Este mecanismo se aplicará únicamente cuando el docente contratado temporalmente, no tenga plaza en propiedad en la institución contratante.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la solicitud de la equiparación de categoría no tiene retroactividad. Rige a partir del acuerdo tomado por la Comisión de Carrera Académica.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oficio o nota, debe contener el correo electrónico para informarle sobre la finalización del estudio.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 Verifica  la solicitud y los atestados.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2.1. Verifica la solicitud y  los atestados adjuntos requeridos para el estudio.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Comisión de Carrera Académica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0000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Segunda Etapa: Análisis de la solicitud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" w:hRule="atLeast"/>
          <w:tblHeader w:val="0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Procedimiento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Actividades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Analiza la solicitud para brindar respuesta al académico (a) interesado (a).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.1.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Analiza la solicitud en una sesión de la Comisión de Carrera Académica.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1.2. Verifica si cumple con los requisitos del artículo 56 BIS.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1.3. Emite criterio sobre el cumplimiento o incumplimiento de los requisitos de la solicitud presentada para la aplicación del artículo 56 BIS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1.4. Toma  acuerdo y aprueba el resultado del estudio para emitir una resolución  en respuesta a la solicitud.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Comisión de Carrera Académica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1.5.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Transcr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ibe el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acuerdo para comunicar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la resolución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del estudio al académico(a).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Personal administrativo CCAC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0000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4"/>
                <w:szCs w:val="24"/>
                <w:rtl w:val="0"/>
              </w:rPr>
              <w:t xml:space="preserve">Tercera Etapa: Informe del estudio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Procedimiento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Actividades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Comunica y resguarda el acuerdo tomado por la Comisión de Carrera Académica.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.1. Remit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al acad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émico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mediante SICA (comunicación automática) y  mediante el correo electrónico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cocad@una.cr</w:t>
              </w:r>
            </w:hyperlink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la resolución del estudio al correo electrónico indicado por el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académico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en su oficio o nota.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1.2. Envía copia de la resolución a la Unidad Académica y al Programa Desarrollo de Recursos Humanos (PDRH) por AGDe, en el período que tiene establecido para el trámite correspondiente.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1.3.   Informa que la resolución en firme y su comunicado   al Programa Desarrollo de Recursos Humanos y la Unidad Académica rige para su ejecución a partir del momento en que se agota el plazo para recurrir el acuerdo. En caso de que el académico procediera  a recurrirlo, la resolución rige a partir de la comunicación de lo resuelto por la Comisión de Carrera Académica cuando hayan transcurrido los ocho días de la presentación del recurso de aclaración y adición o de reposición. 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1.4. Archiva copia física del acuerdo en el expediente del académico resguardado en la Oficina de Carrera Académica.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Nota: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plazos de los recursos se establecen en atención al Reglamento del Régimen de Carrera Académica, Estatuto Orgánico y La Ley General de la Administración Pública.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 administrativo CCAC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line="240" w:lineRule="auto"/>
        <w:ind w:left="-56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Aprobado en sesión ordinaria Nº 18-2022 celebrada el 07 de abril 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801" w:left="1560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353" w:hanging="359.9999999999999"/>
      </w:pPr>
      <w:rPr/>
    </w:lvl>
    <w:lvl w:ilvl="1">
      <w:start w:val="1"/>
      <w:numFmt w:val="lowerLetter"/>
      <w:lvlText w:val="%2."/>
      <w:lvlJc w:val="left"/>
      <w:pPr>
        <w:ind w:left="2073" w:hanging="360"/>
      </w:pPr>
      <w:rPr/>
    </w:lvl>
    <w:lvl w:ilvl="2">
      <w:start w:val="1"/>
      <w:numFmt w:val="lowerRoman"/>
      <w:lvlText w:val="%3."/>
      <w:lvlJc w:val="right"/>
      <w:pPr>
        <w:ind w:left="2793" w:hanging="180"/>
      </w:pPr>
      <w:rPr/>
    </w:lvl>
    <w:lvl w:ilvl="3">
      <w:start w:val="1"/>
      <w:numFmt w:val="decimal"/>
      <w:lvlText w:val="%4."/>
      <w:lvlJc w:val="left"/>
      <w:pPr>
        <w:ind w:left="3513" w:hanging="360"/>
      </w:pPr>
      <w:rPr/>
    </w:lvl>
    <w:lvl w:ilvl="4">
      <w:start w:val="1"/>
      <w:numFmt w:val="lowerLetter"/>
      <w:lvlText w:val="%5."/>
      <w:lvlJc w:val="left"/>
      <w:pPr>
        <w:ind w:left="4233" w:hanging="360"/>
      </w:pPr>
      <w:rPr/>
    </w:lvl>
    <w:lvl w:ilvl="5">
      <w:start w:val="1"/>
      <w:numFmt w:val="lowerRoman"/>
      <w:lvlText w:val="%6."/>
      <w:lvlJc w:val="right"/>
      <w:pPr>
        <w:ind w:left="4953" w:hanging="180"/>
      </w:pPr>
      <w:rPr/>
    </w:lvl>
    <w:lvl w:ilvl="6">
      <w:start w:val="1"/>
      <w:numFmt w:val="decimal"/>
      <w:lvlText w:val="%7."/>
      <w:lvlJc w:val="left"/>
      <w:pPr>
        <w:ind w:left="5673" w:hanging="360"/>
      </w:pPr>
      <w:rPr/>
    </w:lvl>
    <w:lvl w:ilvl="7">
      <w:start w:val="1"/>
      <w:numFmt w:val="lowerLetter"/>
      <w:lvlText w:val="%8."/>
      <w:lvlJc w:val="left"/>
      <w:pPr>
        <w:ind w:left="6393" w:hanging="360"/>
      </w:pPr>
      <w:rPr/>
    </w:lvl>
    <w:lvl w:ilvl="8">
      <w:start w:val="1"/>
      <w:numFmt w:val="lowerRoman"/>
      <w:lvlText w:val="%9."/>
      <w:lvlJc w:val="right"/>
      <w:pPr>
        <w:ind w:left="7113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anormal"/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link w:val="PrrafodelistaCar"/>
    <w:uiPriority w:val="34"/>
    <w:qFormat w:val="1"/>
    <w:rsid w:val="007569C0"/>
    <w:pPr>
      <w:ind w:left="720"/>
      <w:contextualSpacing w:val="1"/>
    </w:pPr>
  </w:style>
  <w:style w:type="character" w:styleId="Hipervnculo">
    <w:name w:val="Hyperlink"/>
    <w:basedOn w:val="Fuentedeprrafopredeter"/>
    <w:rsid w:val="00A55B2E"/>
    <w:rPr>
      <w:color w:val="0000ff"/>
      <w:u w:val="single"/>
    </w:rPr>
  </w:style>
  <w:style w:type="character" w:styleId="PrrafodelistaCar" w:customStyle="1">
    <w:name w:val="Párrafo de lista Car"/>
    <w:link w:val="Prrafodelista"/>
    <w:uiPriority w:val="34"/>
    <w:qFormat w:val="1"/>
    <w:locked w:val="1"/>
    <w:rsid w:val="00E1296F"/>
  </w:style>
  <w:style w:type="paragraph" w:styleId="Textoindependiente">
    <w:name w:val="Body Text"/>
    <w:basedOn w:val="Normal"/>
    <w:link w:val="TextoindependienteCar"/>
    <w:rsid w:val="00E1296F"/>
    <w:pPr>
      <w:spacing w:after="0" w:line="240" w:lineRule="auto"/>
      <w:jc w:val="center"/>
    </w:pPr>
    <w:rPr>
      <w:rFonts w:ascii="Times New Roman" w:cs="Times New Roman" w:eastAsia="Times New Roman" w:hAnsi="Times New Roman"/>
      <w:snapToGrid w:val="0"/>
      <w:sz w:val="24"/>
      <w:szCs w:val="20"/>
      <w:lang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E1296F"/>
    <w:rPr>
      <w:rFonts w:ascii="Times New Roman" w:cs="Times New Roman" w:eastAsia="Times New Roman" w:hAnsi="Times New Roman"/>
      <w:snapToGrid w:val="0"/>
      <w:sz w:val="24"/>
      <w:szCs w:val="20"/>
      <w:lang w:eastAsia="es-ES" w:val="es-ES"/>
    </w:rPr>
  </w:style>
  <w:style w:type="paragraph" w:styleId="Default" w:customStyle="1">
    <w:name w:val="Default"/>
    <w:rsid w:val="00684EF5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  <w:lang w:val="es-MX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cad@una.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9y4pxMJC7ZXotFDkDaC/MYUYbA==">AMUW2mUG3mlmXpMxYXl4hXaZJPJDF9aARK00IaDt9iEzMnPEPDVqGELXY5te5yKfSiTJlh1pJBQH8E8vWEjhSfgPLRMGi6Ke6E29716/ORkuV6tGJYg2FdoXSQ6Kqp78Nx+li7KLIJL8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2022-04-03T05:43:00Z</dcterms:created>
  <dc:creator>Gabriela Cerdas</dc:creator>
</cp:coreProperties>
</file>