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UNIVERSIDAD NACIONAL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COMISIÓN DE CARRERA ACADÉMICA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MANUAL DE PROCEDIMIENTOS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REGLAMENTO DEL RÉGIMEN DE CARRERA ACADÉMICA</w:t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54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0"/>
        <w:gridCol w:w="6000"/>
        <w:gridCol w:w="2055"/>
        <w:tblGridChange w:id="0">
          <w:tblGrid>
            <w:gridCol w:w="2400"/>
            <w:gridCol w:w="6000"/>
            <w:gridCol w:w="205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06">
            <w:pPr>
              <w:spacing w:after="0" w:lineRule="auto"/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PROCEDIMIENTO PARA LA APLICACIÓN DEL ARTÍCULO 71: INCENTIVOS A CATEDRÁTICOS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“ARTÍCULO 71:     INCENTIVOS A CATEDRÁTICOS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personal académico con categoría Catedrático tendrá derecho a un monto de 15.000 colones mensuales, por cada 2 puntos adicionales obtenidos en el rubro de producción intelectual y por cada 4 puntos obtenidos en los rubros de calificaciones profesionales y experiencia académica universitaria. Este incentivo no debe ser sumado a la base, por lo que no modifica el cálculo de los otros pluses salariales.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producción intelectual debe ser en su totalidad con sello editorial, consejo editorial o comité científico de eventos.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el caso de las artes, la producción artística debe venir acompañada de programa de la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 xml:space="preserve">actividad,  video,  reseña  periodística  y  crítica  de  la  obra;  además,  en  el  caso  de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 xml:space="preserve">exposiciones  de  arte  visual,  también  se  debe  presentar  la  reseña  de  la  junta  de 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 xml:space="preserve">curadores.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5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 el  caso  de  deportes,  la  producción  intelectual  debe  venir  acompañada  de  la 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ab/>
              <w:t xml:space="preserve">certificación oficial de jurados.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 solicitudes podrán presentarse una sola vez al año, en las fechas que establezca la comisión.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reconocimiento salarial regirá a partir de la comunicación formal de su aprobación, La Comisión de Carrera Académica deberá verificar disponibilidad presupuestaria antes de su aprobación.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Modificado según oficio UNA-SCU-ACUE-211-2021 y publicado en Alcance 3 a la UNA-GACETA 14-2021.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TRANSITORIO ARTÍCULO 71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 reforma al artículo 71 de este reglamento será aplicable a las personas que se les otorgue este incentivo a partir de la publicación de esta reforma normativa.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En relación con las personas que actualmente gozan de este incentivo, se procederá con la nominalización, de la siguiente forma: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multiplica el porcentaje del incentivo acumulado por el salario base de julio de 2018 de la categoría 91 (Catedrático) y el monto resultante se mantendrá como un monto nominal fijo que se sumará al salario base vigente de la categoría Catedrático.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Se creará una nueva base salarial compuesta por el salario vigente de la categoría 91 más el monto nominal fijo calculado en el punto “a”.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Sobre esta nueva base salarial se calculará la dedicación exclusiva o prohibición, en caso de que goce de alguno de estos incentivos.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Las nuevas anualidades se calcularán sobre el nuevo salario base (Categoría 91 más incentivo fijo nominalizado).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nuevos puntos que se adquieran por la aplicación del artículo 71, en fecha posterior a la  publicación  de  la  presente  modificación,  no  crearán  una  nueva  base  salarial ni modificarán el cálculo de los demás incentivos.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reconocimiento salarial regirá a partir de la comunicación formal de su aprobación, la Comisión de Carrera Académica deberá verificar disponibilidad presupuestaria antes de su aprobación.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Modificado según oficio UNA-SCU-ACUE-211-2021 y publicado en Alcance 3 a la UNA-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GACETA 14-2021”.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GACETA N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22-2021 del 10 de diciembre de 2021.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Primera Etapa: Presentación de la solicitud</w:t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ETAPAS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SECUENCIA DE ACTIVIDADES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RESPONSABLES</w:t>
            </w:r>
          </w:p>
        </w:tc>
      </w:tr>
      <w:tr>
        <w:trPr>
          <w:cantSplit w:val="0"/>
          <w:trHeight w:val="2366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after="0" w:line="240" w:lineRule="auto"/>
              <w:ind w:left="283.46456692913375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Presenta la solicitud y realiza el procedimiento para obtener la  aplicación del artículo  71  con los atestados correspondientes.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1.1.Incluye los atestados en Persona General en el Sistema de Gestión Administrativa (SIGESA).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1.2.  Solicitar la validación de atestados en SIGESA.</w:t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1.3. Realiza la estratificación de atestados en el Sistema de Carrera Académica (SICA).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1.4. Presenta en el Sistema de Carrera Académica (SICA) una solicitud de estudio para la aplicación del incentivo a catedráticos (artículo 71), en el período establecido según comunicación de la Comisión de Carrera Académica para el ingreso y presentación de atestados.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1.5. Solicita una cita para la presentación de atestados y respectivo cotejo en la oficina de Carrera Académica.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NOTAS: 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Todo trámite para ingresar la solicitud y los atestados en el Módulo de SIGESA, Persona General y SICA, es personal.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Indicar al personal académico, que es responsabilidad de cada persona verificar que todos los atestados estén incluidos completos y correctamente en SICA.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 académica</w:t>
            </w:r>
          </w:p>
        </w:tc>
      </w:tr>
      <w:tr>
        <w:trPr>
          <w:cantSplit w:val="0"/>
          <w:trHeight w:val="2366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2.Verifica la solicitud y adjuntos.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ind w:left="375" w:firstLine="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2.1. Verifica que la documentación aportada en la solicitud y los correspondientes documentos probatorios para el estudio, cumplan con lo siguiente: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7"/>
              </w:numPr>
              <w:spacing w:after="0" w:line="240" w:lineRule="auto"/>
              <w:ind w:left="77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haya sido incluida y esté en estado ingresada, mediante el sistema de información de carrera académica (SICA).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7"/>
              </w:numPr>
              <w:spacing w:after="0" w:line="240" w:lineRule="auto"/>
              <w:ind w:left="77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Que estén todos los documentos adjuntos.</w:t>
            </w:r>
          </w:p>
          <w:p w:rsidR="00000000" w:rsidDel="00000000" w:rsidP="00000000" w:rsidRDefault="00000000" w:rsidRPr="00000000" w14:paraId="00000044">
            <w:pPr>
              <w:numPr>
                <w:ilvl w:val="0"/>
                <w:numId w:val="7"/>
              </w:numPr>
              <w:spacing w:after="0" w:line="240" w:lineRule="auto"/>
              <w:ind w:left="77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Recibe los atestados que solo se pueden presentar en forma física (obras de arte, libros que no sean digitales, entre otros).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7"/>
              </w:numPr>
              <w:spacing w:after="0" w:line="240" w:lineRule="auto"/>
              <w:ind w:left="77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Remite la solicitud </w:t>
              <w:tab/>
              <w:t xml:space="preserve">a la presidencia de la Comisión de Carrera Académica para la asignación del estudio.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color w:val="c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administrativo  CCA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Segunda Etapa: Análisis de La Solicitud</w:t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ETAPAS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SECUENCIA DE ACTIVIDADES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RESPONSABLES</w:t>
            </w:r>
          </w:p>
        </w:tc>
      </w:tr>
      <w:tr>
        <w:trPr>
          <w:cantSplit w:val="0"/>
          <w:trHeight w:val="3753.867187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  <w:color w:val="c00000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 Analiza la solicitud para brindar respuesta al académico.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F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1.1. Analiza la solicitud en una sesión de la Comisión de Carrera Académica. </w:t>
            </w:r>
          </w:p>
          <w:p w:rsidR="00000000" w:rsidDel="00000000" w:rsidP="00000000" w:rsidRDefault="00000000" w:rsidRPr="00000000" w14:paraId="00000050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1.2. Verifica si cumple con los requisitos del artículo 71.</w:t>
            </w:r>
          </w:p>
          <w:p w:rsidR="00000000" w:rsidDel="00000000" w:rsidP="00000000" w:rsidRDefault="00000000" w:rsidRPr="00000000" w14:paraId="00000051">
            <w:pPr>
              <w:shd w:fill="ffffff" w:val="clear"/>
              <w:spacing w:after="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“SE LE OTORGARÁ 1 PUNTO QUE EQUIVALE A UN MONTO NOMINAL DE 15000 COLONES (QUINCE MIL COLONES) MENSUALES CADA VEZ QUE EL ACADÉMICO CATEDRÁTICO CUMPLA CON LA RELACIÓN: 2 PUNTOS EN EL RUBRO DE PRODUCCIÓN INTELECTUAL Y 4 PUNTOS OBTENIDOS DE LOS RUBROS DE CALIFICACIONES PROFESIONALES Y/O EXPERIENCIA ACADÉMICA.</w:t>
            </w:r>
          </w:p>
          <w:p w:rsidR="00000000" w:rsidDel="00000000" w:rsidP="00000000" w:rsidRDefault="00000000" w:rsidRPr="00000000" w14:paraId="00000052">
            <w:pPr>
              <w:shd w:fill="ffffff" w:val="clear"/>
              <w:spacing w:after="0" w:line="276" w:lineRule="auto"/>
              <w:jc w:val="both"/>
              <w:rPr>
                <w:rFonts w:ascii="Times New Roman" w:cs="Times New Roman" w:eastAsia="Times New Roman" w:hAnsi="Times New Roman"/>
                <w:b w:val="1"/>
                <w:color w:val="2222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2 PUNTOS EN PRODUCCIÓN INTELECTUAL Y LOS 4 PUNTOS CALIFICACIONES PROFESIONALES Y/O DE EXPERIENCIA ACADÉMICA DEBERÁN SER ADICIONALES AL ÚLTIMO ESTUDIO EN QUE SE LE APROBÓ EL INCENTIVO DE ARTÍCULO 71”.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1.3. Emite criterio sobre el cumplimiento o incumplimiento de los requisitos de la solicitud presentada para la aplicación del artículo 74, inciso d), iv. </w:t>
            </w:r>
          </w:p>
          <w:p w:rsidR="00000000" w:rsidDel="00000000" w:rsidP="00000000" w:rsidRDefault="00000000" w:rsidRPr="00000000" w14:paraId="00000054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1.4.Toma  acuerdo y aprueba el resultado del estudio para emitir una resolución  en respuesta a la solicitud.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Comisión de Carrera Académica</w:t>
            </w:r>
          </w:p>
        </w:tc>
      </w:tr>
      <w:tr>
        <w:trPr>
          <w:cantSplit w:val="0"/>
          <w:trHeight w:val="26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spacing w:after="0" w:lineRule="auto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1.5. Transcribe el  acuerdo para comunicar la resolución del estudio al académico(a).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spacing w:after="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Personal administrativo  CCAC</w:t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00000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Tercera Etapa: Resolución de la solicitud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ETAPAS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SECUENCIA DE ACTIVIDADES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RESPONSABLES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numPr>
                <w:ilvl w:val="0"/>
                <w:numId w:val="2"/>
              </w:numPr>
              <w:spacing w:after="160" w:line="259" w:lineRule="auto"/>
              <w:ind w:left="360" w:hanging="360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Comunica y resguarda el acuerdo tomado por la Comisión de Carrera Académica.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1.1. Remite al académico mediante SICA (comunicación automática) y  mediante el correo electrónico cocad@una.cr la resolución del estudio al correo electrónico indicado por el académico en su oficio o nota.</w:t>
            </w:r>
          </w:p>
          <w:p w:rsidR="00000000" w:rsidDel="00000000" w:rsidP="00000000" w:rsidRDefault="00000000" w:rsidRPr="00000000" w14:paraId="00000063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1.2. Envía copia de la resolución a la Unidad Académica y al Programa Desarrollo de Recursos Humanos (PDRH) por AGDe, en el período que tiene establecido para el trámite correspondiente si cumple con los requisitos del artículo 71.</w:t>
            </w:r>
          </w:p>
          <w:p w:rsidR="00000000" w:rsidDel="00000000" w:rsidP="00000000" w:rsidRDefault="00000000" w:rsidRPr="00000000" w14:paraId="00000064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1.3.   Informa que la resolución en firme y su comunicado   al Programa Desarrollo de Recursos Humanos y la Unidad Académica rige para su ejecución a partir del momento en que se agota el plazo para recurrir el acuerdo. En caso de que el académico procediera  a recurrirlo, la resolución rige a partir de la comunicación de lo resuelto por la Comisión de Carrera Académica cuando hayan transcurrido los ocho días de la presentación del recurso de aclaración y adición o de reposición. </w:t>
            </w:r>
          </w:p>
          <w:p w:rsidR="00000000" w:rsidDel="00000000" w:rsidP="00000000" w:rsidRDefault="00000000" w:rsidRPr="00000000" w14:paraId="00000065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1.4. Comunicar mediante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color w:val="0000ff"/>
                  <w:u w:val="single"/>
                  <w:rtl w:val="0"/>
                </w:rPr>
                <w:t xml:space="preserve">cocad@una.cr</w:t>
              </w:r>
            </w:hyperlink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  al académico para  que se apersone a la oficina de Carrera Académica, a retirar la producción intelectual impresa.</w:t>
            </w:r>
          </w:p>
          <w:p w:rsidR="00000000" w:rsidDel="00000000" w:rsidP="00000000" w:rsidRDefault="00000000" w:rsidRPr="00000000" w14:paraId="00000066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1.5. Archiva copia física del acuerdo en el expediente del académico resguardado en la oficina de Carrera Académica.</w:t>
            </w:r>
          </w:p>
          <w:p w:rsidR="00000000" w:rsidDel="00000000" w:rsidP="00000000" w:rsidRDefault="00000000" w:rsidRPr="00000000" w14:paraId="00000068">
            <w:pPr>
              <w:spacing w:after="0" w:before="240"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Notas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after="0" w:before="240" w:line="276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El reconocimiento salarial regirá a partir de la comunicación formal de su aprobación, la Comisión de Carrera Académica deberá verificar disponibilidad presupuestaria antes de su aprobación. Art. 71, GACETA N</w:t>
            </w:r>
            <w:r w:rsidDel="00000000" w:rsidR="00000000" w:rsidRPr="00000000">
              <w:rPr>
                <w:rFonts w:ascii="Arial" w:cs="Arial" w:eastAsia="Arial" w:hAnsi="Arial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. 22-2021 del 10 de diciembre de 2021.</w:t>
            </w:r>
          </w:p>
          <w:p w:rsidR="00000000" w:rsidDel="00000000" w:rsidP="00000000" w:rsidRDefault="00000000" w:rsidRPr="00000000" w14:paraId="0000006A">
            <w:pPr>
              <w:spacing w:after="160" w:line="259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numPr>
                <w:ilvl w:val="0"/>
                <w:numId w:val="3"/>
              </w:numPr>
              <w:spacing w:after="160" w:line="259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Los plazos de los recursos, se establecen en atención al Reglamento del Régimen de Carrera Académica, Estatuto Orgánico y La Ley General de la Administración Pública.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Comisión de Carrera Académica y Personal administrativo CCAC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6D">
            <w:pPr>
              <w:spacing w:after="160" w:line="259" w:lineRule="auto"/>
              <w:ind w:left="360" w:hanging="36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Aprobado en sesión ordinaria 24-2022 celebrada el 5 de mayo del 2022.</w:t>
            </w:r>
          </w:p>
        </w:tc>
      </w:tr>
    </w:tbl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8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800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lowerLetter"/>
      <w:lvlText w:val="%1."/>
      <w:lvlJc w:val="left"/>
      <w:pPr>
        <w:ind w:left="1147" w:hanging="360"/>
      </w:pPr>
      <w:rPr/>
    </w:lvl>
    <w:lvl w:ilvl="1">
      <w:start w:val="1"/>
      <w:numFmt w:val="lowerLetter"/>
      <w:lvlText w:val="%2."/>
      <w:lvlJc w:val="left"/>
      <w:pPr>
        <w:ind w:left="1867" w:hanging="360"/>
      </w:pPr>
      <w:rPr/>
    </w:lvl>
    <w:lvl w:ilvl="2">
      <w:start w:val="1"/>
      <w:numFmt w:val="lowerRoman"/>
      <w:lvlText w:val="%3."/>
      <w:lvlJc w:val="right"/>
      <w:pPr>
        <w:ind w:left="2587" w:hanging="180"/>
      </w:pPr>
      <w:rPr/>
    </w:lvl>
    <w:lvl w:ilvl="3">
      <w:start w:val="1"/>
      <w:numFmt w:val="decimal"/>
      <w:lvlText w:val="%4."/>
      <w:lvlJc w:val="left"/>
      <w:pPr>
        <w:ind w:left="3307" w:hanging="360"/>
      </w:pPr>
      <w:rPr/>
    </w:lvl>
    <w:lvl w:ilvl="4">
      <w:start w:val="1"/>
      <w:numFmt w:val="lowerLetter"/>
      <w:lvlText w:val="%5."/>
      <w:lvlJc w:val="left"/>
      <w:pPr>
        <w:ind w:left="4027" w:hanging="360"/>
      </w:pPr>
      <w:rPr/>
    </w:lvl>
    <w:lvl w:ilvl="5">
      <w:start w:val="1"/>
      <w:numFmt w:val="lowerRoman"/>
      <w:lvlText w:val="%6."/>
      <w:lvlJc w:val="right"/>
      <w:pPr>
        <w:ind w:left="4747" w:hanging="180"/>
      </w:pPr>
      <w:rPr/>
    </w:lvl>
    <w:lvl w:ilvl="6">
      <w:start w:val="1"/>
      <w:numFmt w:val="decimal"/>
      <w:lvlText w:val="%7."/>
      <w:lvlJc w:val="left"/>
      <w:pPr>
        <w:ind w:left="5467" w:hanging="360"/>
      </w:pPr>
      <w:rPr/>
    </w:lvl>
    <w:lvl w:ilvl="7">
      <w:start w:val="1"/>
      <w:numFmt w:val="lowerLetter"/>
      <w:lvlText w:val="%8."/>
      <w:lvlJc w:val="left"/>
      <w:pPr>
        <w:ind w:left="6187" w:hanging="360"/>
      </w:pPr>
      <w:rPr/>
    </w:lvl>
    <w:lvl w:ilvl="8">
      <w:start w:val="1"/>
      <w:numFmt w:val="lowerRoman"/>
      <w:lvlText w:val="%9."/>
      <w:lvlJc w:val="right"/>
      <w:pPr>
        <w:ind w:left="6907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Prrafodelista">
    <w:name w:val="List Paragraph"/>
    <w:basedOn w:val="Normal"/>
    <w:link w:val="PrrafodelistaCar"/>
    <w:uiPriority w:val="34"/>
    <w:qFormat w:val="1"/>
    <w:rsid w:val="002C4752"/>
    <w:pPr>
      <w:spacing w:after="160" w:line="259" w:lineRule="auto"/>
      <w:ind w:left="720"/>
      <w:contextualSpacing w:val="1"/>
    </w:pPr>
    <w:rPr>
      <w:rFonts w:ascii="Arial Narrow" w:hAnsi="Arial Narrow" w:cstheme="minorBidi" w:eastAsiaTheme="minorHAnsi"/>
      <w:lang w:eastAsia="en-US"/>
    </w:rPr>
  </w:style>
  <w:style w:type="character" w:styleId="PrrafodelistaCar" w:customStyle="1">
    <w:name w:val="Párrafo de lista Car"/>
    <w:link w:val="Prrafodelista"/>
    <w:uiPriority w:val="34"/>
    <w:qFormat w:val="1"/>
    <w:locked w:val="1"/>
    <w:rsid w:val="002C4752"/>
    <w:rPr>
      <w:rFonts w:ascii="Arial Narrow" w:hAnsi="Arial Narrow" w:cstheme="minorBidi" w:eastAsiaTheme="minorHAnsi"/>
      <w:lang w:eastAsia="en-US"/>
    </w:rPr>
  </w:style>
  <w:style w:type="character" w:styleId="Hipervnculo">
    <w:name w:val="Hyperlink"/>
    <w:basedOn w:val="Fuentedeprrafopredeter"/>
    <w:rsid w:val="003C02F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3C02FE"/>
    <w:pPr>
      <w:suppressAutoHyphens w:val="1"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ar-SA" w:val="es-ES"/>
    </w:rPr>
  </w:style>
  <w:style w:type="character" w:styleId="TextoindependienteCar" w:customStyle="1">
    <w:name w:val="Texto independiente Car"/>
    <w:basedOn w:val="Fuentedeprrafopredeter"/>
    <w:link w:val="Textoindependiente"/>
    <w:rsid w:val="003C02FE"/>
    <w:rPr>
      <w:rFonts w:ascii="Times New Roman" w:eastAsia="Times New Roman" w:hAnsi="Times New Roman"/>
      <w:sz w:val="24"/>
      <w:szCs w:val="20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cocad@una.c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Tj8wvvX61Z0BY3HPOGzxKTL4lA==">AMUW2mXNED7MBt92IYK0gXQbFS9tMVWQnNiANddevJhURTDy1txLi4bgBe895aJBHfwyBy0mscHLqopt/weJDvbcdbEm2I7R7GvM441UW18Yt9UJnF+pzuI=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2022-04-14T20:37:00Z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0x0101009E1BFAB7257F4E4FAC518AC9C59C1C10</vt:lpwstr>
  </property>
</Properties>
</file>